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1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>Приложение № 6.4.</w:t>
      </w:r>
    </w:p>
    <w:p>
      <w:pPr>
        <w:pStyle w:val="Normal"/>
        <w:spacing w:lineRule="auto" w:line="240" w:before="0" w:after="0"/>
        <w:ind w:left="4820" w:hanging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   «Муниципальное управление</w:t>
      </w:r>
      <w:r>
        <w:rPr>
          <w:rFonts w:ascii="Times New Roman" w:hAnsi="Times New Roman"/>
          <w:bCs/>
          <w:sz w:val="28"/>
          <w:szCs w:val="28"/>
        </w:rPr>
        <w:t xml:space="preserve">» 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outlineLvl w:val="1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outlineLvl w:val="1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240" w:before="0" w:after="0"/>
        <w:jc w:val="center"/>
        <w:outlineLvl w:val="1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ПАСПОРТ ПОДПРОГРАММЫ </w:t>
      </w:r>
    </w:p>
    <w:p>
      <w:pPr>
        <w:pStyle w:val="ListParagraph"/>
        <w:widowControl w:val="false"/>
        <w:numPr>
          <w:ilvl w:val="0"/>
          <w:numId w:val="0"/>
        </w:numPr>
        <w:spacing w:lineRule="auto" w:line="240" w:before="0" w:after="0"/>
        <w:ind w:left="720" w:hanging="0"/>
        <w:jc w:val="center"/>
        <w:outlineLvl w:val="1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«Повышение энергетической эффективности и сокращение энергетических издержек в бюджетном секторе»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tbl>
      <w:tblPr>
        <w:tblW w:w="9923" w:type="dxa"/>
        <w:jc w:val="left"/>
        <w:tblInd w:w="-7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5" w:type="dxa"/>
          <w:bottom w:w="0" w:type="dxa"/>
          <w:right w:w="75" w:type="dxa"/>
        </w:tblCellMar>
        <w:tblLook w:val="00a0"/>
      </w:tblPr>
      <w:tblGrid>
        <w:gridCol w:w="2924"/>
        <w:gridCol w:w="6998"/>
      </w:tblGrid>
      <w:tr>
        <w:trPr>
          <w:trHeight w:val="600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Наименование            </w:t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«Повышение энергетической эффективности и сокращение энергетических издержек в бюджетном секторе» (далее – подпрограмма)</w:t>
            </w:r>
          </w:p>
          <w:p>
            <w:pPr>
              <w:pStyle w:val="ConsPlusCell"/>
              <w:spacing w:lineRule="auto" w: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600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«Муниципальное управление» (далее – программа)</w:t>
            </w:r>
          </w:p>
        </w:tc>
      </w:tr>
      <w:tr>
        <w:trPr>
          <w:trHeight w:val="600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Исполнитель            </w:t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администрация сельсовета </w:t>
            </w:r>
          </w:p>
        </w:tc>
      </w:tr>
      <w:tr>
        <w:trPr>
          <w:trHeight w:val="600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Цель и задачи</w:t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Cell"/>
              <w:spacing w:lineRule="auto" w: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Целью подпрограммы является формирование целостной и эффективной системы управления энергосбережением и повышением энергетической эффективности.</w:t>
            </w:r>
          </w:p>
          <w:p>
            <w:pPr>
              <w:pStyle w:val="ConsPlusCell"/>
              <w:spacing w:lineRule="auto" w: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Задача подпрограммы: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повышение энергетической эффективности.</w:t>
            </w:r>
          </w:p>
        </w:tc>
      </w:tr>
      <w:tr>
        <w:trPr>
          <w:trHeight w:val="400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Целевые индикаторы 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Normal1"/>
              <w:widowControl/>
              <w:ind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и значения целевых индикаторов приведены в приложении № 1</w:t>
            </w:r>
          </w:p>
        </w:tc>
      </w:tr>
      <w:tr>
        <w:trPr>
          <w:trHeight w:val="600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Сроки          </w:t>
              <w:br/>
              <w:t xml:space="preserve">реализации             </w:t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2014-2018 годы</w:t>
            </w:r>
          </w:p>
        </w:tc>
      </w:tr>
      <w:tr>
        <w:trPr>
          <w:trHeight w:val="684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Объемы и источники финансирования</w:t>
              <w:br/>
              <w:t>в целом и по годам реализации подпрограммы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overflowPunct w:val="false"/>
              <w:snapToGrid w:val="false"/>
              <w:spacing w:lineRule="auto" w:line="240" w:before="0" w:after="0"/>
              <w:ind w:right="72" w:hanging="0"/>
              <w:jc w:val="both"/>
              <w:textAlignment w:val="baseline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Финансирование подпрограммы составит 3 000 руб., в том числе:</w:t>
            </w:r>
          </w:p>
          <w:p>
            <w:pPr>
              <w:pStyle w:val="Normal"/>
              <w:widowControl w:val="false"/>
              <w:overflowPunct w:val="false"/>
              <w:snapToGrid w:val="false"/>
              <w:spacing w:lineRule="auto" w:line="240" w:before="0" w:after="0"/>
              <w:ind w:right="72" w:hanging="0"/>
              <w:jc w:val="both"/>
              <w:textAlignment w:val="baseline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 счет средств бюджета поселения 3 000 руб.,                            из них:</w:t>
            </w:r>
          </w:p>
          <w:p>
            <w:pPr>
              <w:pStyle w:val="Normal"/>
              <w:widowControl w:val="false"/>
              <w:overflowPunct w:val="false"/>
              <w:snapToGrid w:val="false"/>
              <w:spacing w:lineRule="auto" w:line="240" w:before="0" w:after="0"/>
              <w:ind w:right="72" w:hanging="0"/>
              <w:jc w:val="both"/>
              <w:textAlignment w:val="baseline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2014 год – 0,0 руб.;</w:t>
            </w:r>
          </w:p>
          <w:p>
            <w:pPr>
              <w:pStyle w:val="Normal"/>
              <w:widowControl w:val="false"/>
              <w:overflowPunct w:val="false"/>
              <w:snapToGrid w:val="false"/>
              <w:spacing w:lineRule="auto" w:line="240" w:before="0" w:after="0"/>
              <w:ind w:right="72" w:hanging="0"/>
              <w:jc w:val="both"/>
              <w:textAlignment w:val="baseline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2015 год – 0,0 руб.;</w:t>
            </w:r>
          </w:p>
          <w:p>
            <w:pPr>
              <w:pStyle w:val="Normal"/>
              <w:widowControl w:val="false"/>
              <w:overflowPunct w:val="false"/>
              <w:snapToGrid w:val="false"/>
              <w:spacing w:lineRule="auto" w:line="240" w:before="0" w:after="0"/>
              <w:ind w:right="72" w:hanging="0"/>
              <w:jc w:val="both"/>
              <w:textAlignment w:val="baseline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2016 год – 1000,0 руб.;</w:t>
            </w:r>
          </w:p>
          <w:p>
            <w:pPr>
              <w:pStyle w:val="Normal"/>
              <w:widowControl w:val="false"/>
              <w:overflowPunct w:val="false"/>
              <w:snapToGrid w:val="false"/>
              <w:spacing w:lineRule="auto" w:line="240" w:before="0" w:after="0"/>
              <w:ind w:right="72" w:hanging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2017 год – 1000,0 руб.;</w:t>
            </w:r>
          </w:p>
          <w:p>
            <w:pPr>
              <w:pStyle w:val="Normal"/>
              <w:widowControl w:val="false"/>
              <w:overflowPunct w:val="false"/>
              <w:snapToGrid w:val="false"/>
              <w:spacing w:lineRule="auto" w:line="240" w:before="0" w:after="200"/>
              <w:ind w:right="72" w:hanging="0"/>
              <w:jc w:val="both"/>
              <w:textAlignment w:val="baseline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 год – 1000,0 руб.</w:t>
            </w:r>
          </w:p>
        </w:tc>
      </w:tr>
      <w:tr>
        <w:trPr>
          <w:trHeight w:val="646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Система организации контроля за исполнением подпрограммы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сельсовета;</w:t>
            </w:r>
          </w:p>
          <w:p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Контрольно-счетный орган Шарыповского района</w:t>
            </w:r>
          </w:p>
        </w:tc>
      </w:tr>
    </w:tbl>
    <w:p>
      <w:pPr>
        <w:pStyle w:val="ListParagraph"/>
        <w:widowControl w:val="false"/>
        <w:spacing w:lineRule="auto" w:line="240" w:before="0" w:after="0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spacing w:lineRule="auto" w:line="240" w:before="0" w:after="0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spacing w:lineRule="auto" w:line="240" w:before="0" w:after="0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spacing w:lineRule="auto" w:line="240" w:before="0" w:after="0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spacing w:lineRule="auto" w:line="240" w:before="0" w:after="0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spacing w:lineRule="auto" w:line="240" w:before="0" w:after="0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240" w:before="0" w:after="0"/>
        <w:ind w:left="0" w:hanging="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ОСНОВНЫЕ РАЗДЕЛЫ ПОДПРОГРАММЫ</w:t>
      </w:r>
    </w:p>
    <w:p>
      <w:pPr>
        <w:pStyle w:val="ListParagraph"/>
        <w:widowControl w:val="false"/>
        <w:spacing w:lineRule="auto" w:line="240" w:before="0" w:after="0"/>
        <w:ind w:left="0" w:hanging="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numPr>
          <w:ilvl w:val="1"/>
          <w:numId w:val="1"/>
        </w:numPr>
        <w:spacing w:lineRule="auto" w:line="240" w:before="0" w:after="0"/>
        <w:ind w:left="0" w:hanging="0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Постановка проблемы и обоснование необходимости разработки подпрограммы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b/>
          <w:b/>
          <w:bCs/>
          <w:color w:val="FF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Сегодняшнее состояние дел по энергосбережению не отвечает потребностям и нуждается в принятии и реализации практических мер, способных обеспечить переход коммунального хозяйства поселения на энергосберегающий путь развития. Потребуется еще не один год, чтобы коммунальное хозяйство поселения стало энергоэффективным.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Неэффективное использование топлива и других энергоресурсов в коммунальном хозяйстве поселения обусловлено несовершенством действующих правовых, управленческих, финансово-экономических и ценовых механизмов. Внедрению ресурсосберегающих технологий на предприятиях коммунального хозяйства поселения тормозит отсутствие финансовых средств. Энергозатратность производства все в большей степени определяется постоянно возрастающей доли устаревшего оборудования, изношенных коммунальных сетей, нехваткой квалифицированных кадров в области энергосбережения.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Существует ряд задач, которые надо решать сегодня и с учетом того, что в настоящее время ресурсосбережение является проблемой в значительной степени не технической, а организационной, управленческой и финансовой.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Исходя из этого, приоритетными должны быть мероприятия, способствующие созданию практических механизмов по решению энергосберегающих проблем. Для этого и разработана подпрограмма основных направлений энергосбережения в поселении. Для выполнения данной подпрограммы необходимо сотрудничество со всеми заинтересованными организациями, деятельность которых связана с энергосбережением.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Необходимо создать в поселении четкую систему управления энергосбережением. Это первоопределяющий фактор для достижения реальных результатов. Речь идет о жестоком централизованном управлении. В управлении энергосбережением должны работать рыночные механизмы.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числу первоочередных относятся вопросы финансового обеспечения энергосберегающих мероприятий. Эти вопросы являются наиболее сложными и важными. Не решив их, мы не вправе рассчитывать на реальные результаты.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Значительной проблемой для поселения являются: высокая стоимость энергоресурсов, сверхнормативные потери энергоресурсов, расточительное расходование энергоресурсов. Проводимые мероприятия по их снижению являются недостаточными и заметных результатов не приносят.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Для приведения системы наружного освещения населенных пунктов поселения в соответствие с современными требованиями и повышения качества жизнедеятельности муниципального образования требуется принятие следующих кардинальных мер: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проведение капитального ремонта и модернизации существующих сетей наружного освещения с применением прогрессивных технологий и источников света;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проведение технической инвентаризации и паспортизации сетей наружного освещения.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прогрессивных материалов и технологий позволит значительно снизить затраты на эксплуатацию, повысить надежность и качество работы сетей наружного освещения.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Проведение технической инвентаризации и паспортизации сетей наружного освещения позволит создать единую базу данных по сетям наружного освещения, более точно определить количественные и качественные показатели для планирования, осуществления ремонта и содержания сетей.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Учитывая необходимый объем работ в поселении по энергосбережению, мы понимаем, что решить все поставленные задачи быстро и в достаточной мере качественно не представляется возможным. Однако лимит времени, необходимый для осознания и обсуждения проблем энергосбережения уже исчерпан. Поэтому требуется конкретная практическая работа.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Так, в 2010 году администрацией сельсовета была утверждена долгосрочная целевая программа «Энергосбережение и повышение энергетической эффективности Шушенского сельсовета» на 2010-2014гг.                В результате этой программы были проведены следующие мероприятия: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замена ламп накаливания на энергосберегающие и светодиодные лампы на объектах муниципальной собственности;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осуществление работ по утеплению ограждающих конструкций зданий (замена окон, утепление дверей);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установка приборов учета тепловой энергии;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обязательное энергетическое обследование зданий.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Дальнейшее продвижение по пути реализации энергосберегающей политики в поселении без объединенных усилий, без вовлечения в этот процесс всех заинтересованных сторон, по большому счету невозможно. Силами администрации, предприятиями коммунального хозяйства поселения весь объем предстоящих работ не осилить. Роль общественности в сфере повышения эффективности энергосбережения должна быть повышена.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Реализация настоящей подпрограммы приведет к созданию реальных стимулов для экономии энергоресурсов, повысит качество предоставляемых коммунальных услуг, сократит расходы бюджета поселения, улучшит экологическую ситуацию в поселении. Данная подпрограмма решит задачи сверхнормативного износа основных фондов, внедрит меры по стимулированию эффективного и рационального хозяйствования жилищно-коммунальных предприятий, максимального использования ими всех доступных ресурсов, включая собственные, надежного и устойчивого обслуживания потребителей.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результате решения этих задач повысится качество коммунального обслуживания социальной сферы, эффективность и надежность работы систем тепло-, водоснабжения и канализации.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Наша общая задача – интегрировать все имеющиеся ресурсы и возможности для скорейшего достижения конкретных весовых результатов политики энергосбережения, которые, в свою очередь, позитивно скажутся на устойчивом развитии коммунального хозяйства.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widowControl w:val="false"/>
        <w:numPr>
          <w:ilvl w:val="1"/>
          <w:numId w:val="1"/>
        </w:numPr>
        <w:spacing w:lineRule="auto" w:line="240" w:before="0" w:after="0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Основная цель, задачи, этапы и сроки выполнения подпрограммы, целевые индикаторы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</w:r>
    </w:p>
    <w:p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Целью подпрограммы является формирование целостной и эффективной системы управления энергосбережением и повышением энергетической эффективности.</w:t>
      </w:r>
    </w:p>
    <w:p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Для достижения поставленной цели необходимо решение задачи                        по повышению энергетической эффективности.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Обоснованием выбора подпрограммных мероприятий, направленных на решение вышеуказанной задачи являются требования Федерального </w:t>
      </w:r>
      <w:hyperlink r:id="rId2">
        <w:r>
          <w:rPr>
            <w:rStyle w:val="Style13"/>
            <w:rFonts w:cs="Times New Roman" w:ascii="Times New Roman" w:hAnsi="Times New Roman"/>
            <w:color w:val="000000"/>
            <w:sz w:val="28"/>
            <w:szCs w:val="28"/>
          </w:rPr>
          <w:t>закона</w:t>
        </w:r>
      </w:hyperlink>
      <w:r>
        <w:rPr/>
        <w:t xml:space="preserve">               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Федерации», </w:t>
      </w:r>
      <w:hyperlink r:id="rId3">
        <w:r>
          <w:rPr>
            <w:rStyle w:val="Style13"/>
            <w:rFonts w:cs="Times New Roman" w:ascii="Times New Roman" w:hAnsi="Times New Roman"/>
            <w:color w:val="000000"/>
            <w:sz w:val="28"/>
            <w:szCs w:val="28"/>
            <w:lang w:eastAsia="ru-RU"/>
          </w:rPr>
          <w:t>Постановление</w:t>
        </w:r>
      </w:hyperlink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 xml:space="preserve"> Правительства Российской Федерации </w:t>
        <w:br/>
        <w:t>от 31.12.2009 № 1225 «О требованиях к региональным и муниципальным программам в области энергосбережения и повышения энергетической эффективности»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и </w:t>
      </w:r>
      <w:hyperlink r:id="rId4">
        <w:r>
          <w:rPr>
            <w:rStyle w:val="Style13"/>
            <w:rFonts w:cs="Times New Roman" w:ascii="Times New Roman" w:hAnsi="Times New Roman"/>
            <w:color w:val="000000"/>
            <w:sz w:val="28"/>
            <w:szCs w:val="28"/>
          </w:rPr>
          <w:t>Приказа</w:t>
        </w:r>
      </w:hyperlink>
      <w:r>
        <w:rPr>
          <w:rFonts w:cs="Times New Roman" w:ascii="Times New Roman" w:hAnsi="Times New Roman"/>
          <w:color w:val="000000"/>
          <w:sz w:val="28"/>
          <w:szCs w:val="28"/>
        </w:rPr>
        <w:t xml:space="preserve"> Министерства экономического развития Российской Федерации от 17.02.2010  № 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эффективности».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Срок реализации подпрограммы – 2014-2018 годы.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Перечень и значения целевых индикаторов подпрограммы приведены в приложении № 1 к настоящей подпрограмме.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widowControl w:val="false"/>
        <w:numPr>
          <w:ilvl w:val="1"/>
          <w:numId w:val="1"/>
        </w:numPr>
        <w:spacing w:lineRule="auto" w:line="240" w:before="0" w:after="0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Механизм реализации подпрограммы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Реализацию подпрограммы осуществляет администрация сельсовета. </w:t>
      </w:r>
    </w:p>
    <w:p>
      <w:pPr>
        <w:pStyle w:val="ConsPlusNormal1"/>
        <w:widowControl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Главным распорядителем бюджетных средств является администрация сельсовета.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widowControl w:val="false"/>
        <w:numPr>
          <w:ilvl w:val="1"/>
          <w:numId w:val="1"/>
        </w:numPr>
        <w:spacing w:lineRule="auto" w:line="240" w:before="0" w:after="0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Управление подпрограммой и контроль за ходом ее выполнения</w:t>
      </w:r>
    </w:p>
    <w:p>
      <w:pPr>
        <w:pStyle w:val="Normal"/>
        <w:widowControl w:val="false"/>
        <w:spacing w:lineRule="auto" w:line="240" w:before="0" w:after="0"/>
        <w:ind w:left="720" w:hanging="0"/>
        <w:rPr>
          <w:rFonts w:ascii="Times New Roman" w:hAnsi="Times New Roman" w:cs="Times New Roman"/>
          <w:b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b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Текущий контроль за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b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Администрация сельсовета</w:t>
      </w:r>
      <w:r>
        <w:rPr>
          <w:rFonts w:cs="Times New Roman" w:ascii="Times New Roman" w:hAnsi="Times New Roman"/>
          <w:sz w:val="28"/>
          <w:szCs w:val="28"/>
          <w:lang w:eastAsia="ru-RU"/>
        </w:rPr>
        <w:t xml:space="preserve"> осуществляет: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непосредственный контроль за ходом реализации мероприятий подпрограммы;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подготовку отчетов о реализации мероприятий подпрограммы.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Контроль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Шарыповского района.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b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b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</w:r>
    </w:p>
    <w:p>
      <w:pPr>
        <w:pStyle w:val="ListParagraph"/>
        <w:widowControl w:val="false"/>
        <w:numPr>
          <w:ilvl w:val="1"/>
          <w:numId w:val="1"/>
        </w:numPr>
        <w:spacing w:lineRule="auto" w:line="240" w:before="0" w:after="0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Оценка социально-экономической эффективности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Экономический эффект от реализации подпрограммных мероприятий будет выражен в экономии каждого энергоресурса на 3,5%.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widowControl w:val="false"/>
        <w:numPr>
          <w:ilvl w:val="1"/>
          <w:numId w:val="1"/>
        </w:numPr>
        <w:spacing w:lineRule="auto" w:line="240" w:before="0" w:after="0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Мероприятия подпрограммы</w:t>
      </w:r>
    </w:p>
    <w:p>
      <w:pPr>
        <w:pStyle w:val="ListParagraph"/>
        <w:widowControl w:val="false"/>
        <w:spacing w:lineRule="auto" w:line="240" w:before="0" w:after="0"/>
        <w:ind w:left="2160" w:hanging="0"/>
        <w:rPr>
          <w:rFonts w:ascii="Times New Roman" w:hAnsi="Times New Roman" w:cs="Times New Roman"/>
          <w:b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Перечень подпрограммных мероприятий представлен в приложении № 2                     </w:t>
      </w:r>
      <w:r>
        <w:rPr>
          <w:rFonts w:cs="Times New Roman" w:ascii="Times New Roman" w:hAnsi="Times New Roman"/>
          <w:vanish/>
          <w:sz w:val="28"/>
          <w:szCs w:val="28"/>
        </w:rPr>
        <w:t>чень мероприятий подпрограммы приведен в приложении № 2 к настоящей подпрограмме</w:t>
      </w:r>
      <w:r>
        <w:rPr>
          <w:rFonts w:cs="Times New Roman" w:ascii="Times New Roman" w:hAnsi="Times New Roman"/>
          <w:sz w:val="28"/>
          <w:szCs w:val="28"/>
        </w:rPr>
        <w:t>к подпрограмме.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widowControl w:val="false"/>
        <w:numPr>
          <w:ilvl w:val="1"/>
          <w:numId w:val="1"/>
        </w:numPr>
        <w:spacing w:lineRule="auto" w:line="240" w:before="0" w:after="0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Обоснование финансовых затрат (ресурсное обеспечение подпрограммы) с указанием источников финансирования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Источниками финансирования подпрограммы являются средства бюджета поселения.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Общий объем средств на реализацию подпрограммы составляет 3 000,</w:t>
      </w:r>
      <w:r>
        <w:rPr>
          <w:rFonts w:cs="Times New Roman" w:ascii="Times New Roman" w:hAnsi="Times New Roman"/>
          <w:sz w:val="28"/>
          <w:szCs w:val="28"/>
        </w:rPr>
        <w:t>0</w:t>
      </w:r>
      <w:r>
        <w:rPr>
          <w:rFonts w:cs="Times New Roman" w:ascii="Times New Roman" w:hAnsi="Times New Roman"/>
          <w:sz w:val="28"/>
          <w:szCs w:val="28"/>
        </w:rPr>
        <w:t xml:space="preserve"> рублей, в том числе:</w:t>
      </w:r>
    </w:p>
    <w:p>
      <w:pPr>
        <w:pStyle w:val="Normal"/>
        <w:widowControl w:val="false"/>
        <w:overflowPunct w:val="false"/>
        <w:snapToGrid w:val="false"/>
        <w:spacing w:before="0" w:after="0"/>
        <w:ind w:right="72" w:firstLine="567"/>
        <w:jc w:val="both"/>
        <w:textAlignment w:val="baseline"/>
        <w:rPr/>
      </w:pPr>
      <w:r>
        <w:rPr>
          <w:rFonts w:cs="Times New Roman" w:ascii="Times New Roman" w:hAnsi="Times New Roman"/>
          <w:sz w:val="28"/>
          <w:szCs w:val="28"/>
        </w:rPr>
        <w:t>за счет средств бюджета поселения 3 000,</w:t>
      </w:r>
      <w:r>
        <w:rPr>
          <w:rFonts w:cs="Times New Roman" w:ascii="Times New Roman" w:hAnsi="Times New Roman"/>
          <w:sz w:val="28"/>
          <w:szCs w:val="28"/>
        </w:rPr>
        <w:t>0</w:t>
      </w:r>
      <w:r>
        <w:rPr>
          <w:rFonts w:cs="Times New Roman" w:ascii="Times New Roman" w:hAnsi="Times New Roman"/>
          <w:sz w:val="28"/>
          <w:szCs w:val="28"/>
        </w:rPr>
        <w:t xml:space="preserve"> рублей,</w:t>
      </w:r>
    </w:p>
    <w:p>
      <w:pPr>
        <w:pStyle w:val="Normal"/>
        <w:widowControl w:val="false"/>
        <w:overflowPunct w:val="false"/>
        <w:snapToGrid w:val="false"/>
        <w:spacing w:before="0"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 них:</w:t>
      </w:r>
    </w:p>
    <w:p>
      <w:pPr>
        <w:pStyle w:val="Normal"/>
        <w:widowControl w:val="false"/>
        <w:overflowPunct w:val="false"/>
        <w:snapToGrid w:val="false"/>
        <w:spacing w:lineRule="auto" w:line="240" w:before="0" w:after="0"/>
        <w:ind w:right="72" w:firstLine="567"/>
        <w:jc w:val="both"/>
        <w:textAlignment w:val="baseline"/>
        <w:rPr/>
      </w:pPr>
      <w:r>
        <w:rPr>
          <w:rFonts w:cs="Times New Roman" w:ascii="Times New Roman" w:hAnsi="Times New Roman"/>
          <w:sz w:val="28"/>
          <w:szCs w:val="28"/>
        </w:rPr>
        <w:t>в 2014 году – 0,0 рублей;</w:t>
      </w:r>
    </w:p>
    <w:p>
      <w:pPr>
        <w:pStyle w:val="Normal"/>
        <w:widowControl w:val="false"/>
        <w:overflowPunct w:val="false"/>
        <w:snapToGrid w:val="false"/>
        <w:spacing w:lineRule="auto" w:line="240" w:before="0" w:after="0"/>
        <w:ind w:right="72" w:firstLine="567"/>
        <w:jc w:val="both"/>
        <w:textAlignment w:val="baseline"/>
        <w:rPr/>
      </w:pPr>
      <w:r>
        <w:rPr>
          <w:rFonts w:cs="Times New Roman" w:ascii="Times New Roman" w:hAnsi="Times New Roman"/>
          <w:sz w:val="28"/>
          <w:szCs w:val="28"/>
        </w:rPr>
        <w:t>в 2015 году – 0,0 рублей;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2016 году – 1 000,0 рублей;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в 2017 году – 1 000,0 рублей;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в 2018 году – 1 000,0 рублей.</w:t>
      </w:r>
    </w:p>
    <w:sectPr>
      <w:type w:val="nextPage"/>
      <w:pgSz w:w="11906" w:h="16838"/>
      <w:pgMar w:left="1418" w:right="851" w:header="0" w:top="227" w:footer="0" w:bottom="232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embedSystemFonts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annotation reference" w:locked="1" w:uiPriority="0" w:semiHidden="0" w:unhideWhenUsed="0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Normal (Web)" w:locked="1" w:uiPriority="0" w:semiHidden="0" w:unhideWhenUsed="0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92377"/>
    <w:pPr>
      <w:widowControl/>
      <w:bidi w:val="0"/>
      <w:spacing w:lineRule="auto" w:line="276" w:before="0" w:after="200"/>
      <w:jc w:val="left"/>
    </w:pPr>
    <w:rPr>
      <w:rFonts w:ascii="Calibri" w:hAnsi="Calibri" w:eastAsia="Calibri" w:cs="Calibri"/>
      <w:color w:val="00000A"/>
      <w:sz w:val="22"/>
      <w:szCs w:val="22"/>
      <w:lang w:val="ru-RU" w:eastAsia="en-US" w:bidi="ar-SA"/>
    </w:rPr>
  </w:style>
  <w:style w:type="paragraph" w:styleId="1">
    <w:name w:val="Заголовок 1"/>
    <w:basedOn w:val="Normal"/>
    <w:link w:val="10"/>
    <w:uiPriority w:val="99"/>
    <w:qFormat/>
    <w:rsid w:val="00763d66"/>
    <w:pPr>
      <w:keepNext/>
      <w:keepLines/>
      <w:spacing w:before="480" w:after="0"/>
      <w:outlineLvl w:val="0"/>
    </w:pPr>
    <w:rPr>
      <w:rFonts w:ascii="Cambria" w:hAnsi="Cambria" w:eastAsia="Times New Roman" w:cs="Cambria"/>
      <w:b/>
      <w:bCs/>
      <w:color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9"/>
    <w:qFormat/>
    <w:locked/>
    <w:rsid w:val="00763d66"/>
    <w:rPr>
      <w:rFonts w:ascii="Cambria" w:hAnsi="Cambria" w:cs="Cambria"/>
      <w:b/>
      <w:bCs/>
      <w:color w:val="365F91"/>
      <w:sz w:val="28"/>
      <w:szCs w:val="28"/>
    </w:rPr>
  </w:style>
  <w:style w:type="character" w:styleId="Style13">
    <w:name w:val="Интернет-ссылка"/>
    <w:basedOn w:val="DefaultParagraphFont"/>
    <w:uiPriority w:val="99"/>
    <w:rsid w:val="00474d7e"/>
    <w:rPr>
      <w:color w:val="0000FF"/>
      <w:u w:val="single"/>
    </w:rPr>
  </w:style>
  <w:style w:type="character" w:styleId="Annotationreference">
    <w:name w:val="annotation reference"/>
    <w:basedOn w:val="DefaultParagraphFont"/>
    <w:uiPriority w:val="99"/>
    <w:semiHidden/>
    <w:qFormat/>
    <w:rsid w:val="00474d7e"/>
    <w:rPr>
      <w:sz w:val="16"/>
      <w:szCs w:val="16"/>
    </w:rPr>
  </w:style>
  <w:style w:type="character" w:styleId="ConsPlusNormal" w:customStyle="1">
    <w:name w:val="ConsPlusNormal Знак"/>
    <w:link w:val="ConsPlusNormal"/>
    <w:uiPriority w:val="99"/>
    <w:qFormat/>
    <w:locked/>
    <w:rsid w:val="00e2597d"/>
    <w:rPr>
      <w:rFonts w:ascii="Arial" w:hAnsi="Arial"/>
      <w:sz w:val="22"/>
      <w:szCs w:val="22"/>
      <w:lang w:eastAsia="ru-RU" w:bidi="ar-SA"/>
    </w:rPr>
  </w:style>
  <w:style w:type="character" w:styleId="Style14" w:customStyle="1">
    <w:name w:val="Текст выноски Знак"/>
    <w:basedOn w:val="DefaultParagraphFont"/>
    <w:link w:val="a7"/>
    <w:uiPriority w:val="99"/>
    <w:semiHidden/>
    <w:qFormat/>
    <w:rsid w:val="007e78b0"/>
    <w:rPr>
      <w:rFonts w:ascii="Tahoma" w:hAnsi="Tahoma" w:cs="Tahoma"/>
      <w:sz w:val="16"/>
      <w:szCs w:val="16"/>
      <w:lang w:eastAsia="en-US"/>
    </w:rPr>
  </w:style>
  <w:style w:type="character" w:styleId="ListLabel1">
    <w:name w:val="ListLabel 1"/>
    <w:qFormat/>
    <w:rPr>
      <w:sz w:val="28"/>
      <w:szCs w:val="28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b w:val="false"/>
      <w:bCs w:val="false"/>
    </w:rPr>
  </w:style>
  <w:style w:type="character" w:styleId="ListLabel6">
    <w:name w:val="ListLabel 6"/>
    <w:qFormat/>
    <w:rPr>
      <w:b w:val="false"/>
      <w:i w:val="false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ConsPlusCell" w:customStyle="1">
    <w:name w:val="ConsPlusCell"/>
    <w:uiPriority w:val="99"/>
    <w:qFormat/>
    <w:rsid w:val="00192377"/>
    <w:pPr>
      <w:widowControl w:val="false"/>
      <w:bidi w:val="0"/>
      <w:jc w:val="left"/>
    </w:pPr>
    <w:rPr>
      <w:rFonts w:ascii="Calibri" w:hAnsi="Calibri" w:eastAsia="Times New Roman" w:cs="Calibri"/>
      <w:color w:val="00000A"/>
      <w:sz w:val="22"/>
      <w:szCs w:val="22"/>
      <w:lang w:val="ru-RU" w:eastAsia="ru-RU" w:bidi="ar-SA"/>
    </w:rPr>
  </w:style>
  <w:style w:type="paragraph" w:styleId="ListParagraph">
    <w:name w:val="List Paragraph"/>
    <w:basedOn w:val="Normal"/>
    <w:uiPriority w:val="99"/>
    <w:qFormat/>
    <w:rsid w:val="00954404"/>
    <w:pPr>
      <w:ind w:left="720" w:hanging="0"/>
    </w:pPr>
    <w:rPr/>
  </w:style>
  <w:style w:type="paragraph" w:styleId="12" w:customStyle="1">
    <w:name w:val="Абзац списка1"/>
    <w:basedOn w:val="Normal"/>
    <w:uiPriority w:val="99"/>
    <w:qFormat/>
    <w:rsid w:val="00954404"/>
    <w:pPr>
      <w:ind w:left="720" w:hanging="0"/>
    </w:pPr>
    <w:rPr>
      <w:rFonts w:eastAsia="Times New Roman"/>
    </w:rPr>
  </w:style>
  <w:style w:type="paragraph" w:styleId="2" w:customStyle="1">
    <w:name w:val="Абзац списка2"/>
    <w:basedOn w:val="Normal"/>
    <w:uiPriority w:val="99"/>
    <w:qFormat/>
    <w:rsid w:val="009f6995"/>
    <w:pPr>
      <w:ind w:left="720" w:hanging="0"/>
    </w:pPr>
    <w:rPr>
      <w:rFonts w:eastAsia="Times New Roman"/>
    </w:rPr>
  </w:style>
  <w:style w:type="paragraph" w:styleId="3" w:customStyle="1">
    <w:name w:val="Абзац списка3"/>
    <w:basedOn w:val="Normal"/>
    <w:uiPriority w:val="99"/>
    <w:qFormat/>
    <w:rsid w:val="00404cd5"/>
    <w:pPr>
      <w:ind w:left="720" w:hanging="0"/>
    </w:pPr>
    <w:rPr>
      <w:rFonts w:eastAsia="Times New Roman"/>
    </w:rPr>
  </w:style>
  <w:style w:type="paragraph" w:styleId="ConsPlusNormal1" w:customStyle="1">
    <w:name w:val="ConsPlusNormal"/>
    <w:link w:val="ConsPlusNormal0"/>
    <w:uiPriority w:val="99"/>
    <w:qFormat/>
    <w:rsid w:val="005c3a81"/>
    <w:pPr>
      <w:widowControl w:val="false"/>
      <w:bidi w:val="0"/>
      <w:ind w:firstLine="720"/>
      <w:jc w:val="left"/>
    </w:pPr>
    <w:rPr>
      <w:rFonts w:ascii="Arial" w:hAnsi="Arial" w:eastAsia="Calibri" w:cs="Times New Roman"/>
      <w:color w:val="00000A"/>
      <w:sz w:val="22"/>
      <w:szCs w:val="22"/>
      <w:lang w:val="ru-RU" w:eastAsia="ru-RU" w:bidi="ar-SA"/>
    </w:rPr>
  </w:style>
  <w:style w:type="paragraph" w:styleId="NormalWeb">
    <w:name w:val="Normal (Web)"/>
    <w:basedOn w:val="Normal"/>
    <w:uiPriority w:val="99"/>
    <w:qFormat/>
    <w:rsid w:val="001a5cfb"/>
    <w:pPr>
      <w:spacing w:lineRule="auto" w:line="240" w:beforeAutospacing="1" w:afterAutospacing="1"/>
      <w:ind w:firstLine="709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7e78b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E0AB3EB43C5EA94AD3675D42CC9DA747281F1130F6EB7BE04C228CF6CFy7C9C" TargetMode="External"/><Relationship Id="rId3" Type="http://schemas.openxmlformats.org/officeDocument/2006/relationships/hyperlink" Target="consultantplus://offline/ref=9689F9A7C3A217866CF5FC40F95D9AB0E1CC70E42EFFBBE8E28E823D267628C72B36F71D9FCAA025CF99A5UEv7B" TargetMode="External"/><Relationship Id="rId4" Type="http://schemas.openxmlformats.org/officeDocument/2006/relationships/hyperlink" Target="consultantplus://offline/ref=E0AB3EB43C5EA94AD3675D42CC9DA747201B1537F2E826EA447B80F4yCC8C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9EC71D-1631-4B84-B60E-93B75BAFD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1198</TotalTime>
  <Application>LibreOffice/5.0.4.2$Windows_X86_64 LibreOffice_project/2b9802c1994aa0b7dc6079e128979269cf95bc78</Application>
  <Paragraphs>87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2013-07-06T06:29:00Z</dcterms:created>
  <dc:creator>Customer</dc:creator>
  <dc:language>ru-RU</dc:language>
  <cp:lastPrinted>2014-11-10T11:08:00Z</cp:lastPrinted>
  <dcterms:modified xsi:type="dcterms:W3CDTF">2016-11-25T09:52:15Z</dcterms:modified>
  <cp:revision>155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